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31" w:rsidRPr="005D02EE" w:rsidRDefault="005D02EE" w:rsidP="000E4431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5D02EE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1952B6">
        <w:rPr>
          <w:rFonts w:ascii="Times New Roman" w:hAnsi="Times New Roman"/>
          <w:i/>
          <w:sz w:val="24"/>
          <w:szCs w:val="24"/>
        </w:rPr>
        <w:t>1</w:t>
      </w:r>
      <w:r w:rsidRPr="005D02EE">
        <w:rPr>
          <w:rFonts w:ascii="Times New Roman" w:hAnsi="Times New Roman"/>
          <w:i/>
          <w:sz w:val="24"/>
          <w:szCs w:val="24"/>
        </w:rPr>
        <w:t xml:space="preserve"> к приказу Минобр</w:t>
      </w:r>
      <w:r w:rsidR="001952B6">
        <w:rPr>
          <w:rFonts w:ascii="Times New Roman" w:hAnsi="Times New Roman"/>
          <w:i/>
          <w:sz w:val="24"/>
          <w:szCs w:val="24"/>
        </w:rPr>
        <w:t>науки</w:t>
      </w:r>
      <w:r w:rsidRPr="005D02EE">
        <w:rPr>
          <w:rFonts w:ascii="Times New Roman" w:hAnsi="Times New Roman"/>
          <w:i/>
          <w:sz w:val="24"/>
          <w:szCs w:val="24"/>
        </w:rPr>
        <w:t xml:space="preserve"> РС(Я) </w:t>
      </w:r>
      <w:r w:rsidRPr="005D02EE">
        <w:rPr>
          <w:rFonts w:ascii="Times New Roman" w:hAnsi="Times New Roman"/>
          <w:i/>
          <w:sz w:val="24"/>
          <w:szCs w:val="24"/>
        </w:rPr>
        <w:br/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от </w:t>
      </w:r>
      <w:r w:rsidR="000E4431" w:rsidRPr="00560A1A">
        <w:rPr>
          <w:rFonts w:ascii="Times New Roman" w:hAnsi="Times New Roman"/>
          <w:i/>
          <w:sz w:val="24"/>
          <w:szCs w:val="24"/>
          <w:u w:val="single"/>
        </w:rPr>
        <w:t>31</w:t>
      </w:r>
      <w:r w:rsidR="000E4431">
        <w:rPr>
          <w:rFonts w:ascii="Times New Roman" w:hAnsi="Times New Roman"/>
          <w:i/>
          <w:sz w:val="24"/>
          <w:szCs w:val="24"/>
          <w:u w:val="single"/>
        </w:rPr>
        <w:t xml:space="preserve"> января  </w:t>
      </w:r>
      <w:r w:rsidR="000E4431" w:rsidRPr="005D02EE">
        <w:rPr>
          <w:rFonts w:ascii="Times New Roman" w:hAnsi="Times New Roman"/>
          <w:i/>
          <w:sz w:val="24"/>
          <w:szCs w:val="24"/>
        </w:rPr>
        <w:t>201</w:t>
      </w:r>
      <w:r w:rsidR="000E4431">
        <w:rPr>
          <w:rFonts w:ascii="Times New Roman" w:hAnsi="Times New Roman"/>
          <w:i/>
          <w:sz w:val="24"/>
          <w:szCs w:val="24"/>
        </w:rPr>
        <w:t>8</w:t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 года № </w:t>
      </w:r>
      <w:r w:rsidR="000E4431">
        <w:rPr>
          <w:rFonts w:ascii="Times New Roman" w:hAnsi="Times New Roman"/>
          <w:i/>
          <w:sz w:val="24"/>
          <w:szCs w:val="24"/>
        </w:rPr>
        <w:t>__</w:t>
      </w:r>
      <w:r w:rsidR="000E4431">
        <w:rPr>
          <w:rFonts w:ascii="Times New Roman" w:hAnsi="Times New Roman"/>
          <w:i/>
          <w:sz w:val="24"/>
          <w:szCs w:val="24"/>
          <w:u w:val="single"/>
        </w:rPr>
        <w:t>01-09/145</w:t>
      </w:r>
      <w:r w:rsidR="000E4431" w:rsidRPr="005D02EE">
        <w:rPr>
          <w:rFonts w:ascii="Times New Roman" w:hAnsi="Times New Roman"/>
          <w:i/>
          <w:sz w:val="24"/>
          <w:szCs w:val="24"/>
        </w:rPr>
        <w:t>__</w:t>
      </w:r>
    </w:p>
    <w:p w:rsidR="005D02EE" w:rsidRPr="005D02EE" w:rsidRDefault="005D02EE" w:rsidP="005D02EE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Форма экспертного заключения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Pr="00746504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Ф.И.О.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Место работы________________________________________________________________________________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Стаж педагогической деятельности______________________________________________________________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Профессиональный модуль:____________________________________________________________________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Междисциплинарный курс:____________________________________________________________________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Дисциплина:_________________________________________________________________________________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Заявленная квалификационная категория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9923"/>
        <w:gridCol w:w="993"/>
      </w:tblGrid>
      <w:tr w:rsidR="00746504" w:rsidRPr="00746504" w:rsidTr="0074650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Оценочная шкала</w:t>
            </w:r>
          </w:p>
        </w:tc>
      </w:tr>
      <w:tr w:rsidR="00746504" w:rsidRPr="00746504" w:rsidTr="0074650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оценка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</w:tr>
      <w:tr w:rsidR="00746504" w:rsidRPr="00746504" w:rsidTr="0074650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46504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повышения квалификации в объеме 72 ч;</w:t>
            </w:r>
          </w:p>
          <w:p w:rsidR="00746504" w:rsidRPr="00746504" w:rsidRDefault="00746504" w:rsidP="00746504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  <w:tab w:val="num" w:pos="601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повышения квалификации более 72 ч.;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1.3. Освоил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курсы повышения квалификации 144  ч. и более.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</w:t>
            </w:r>
            <w:r w:rsidRPr="00746504">
              <w:rPr>
                <w:rStyle w:val="aa"/>
                <w:rFonts w:ascii="Times New Roman" w:hAnsi="Times New Roman"/>
                <w:i/>
                <w:sz w:val="24"/>
                <w:szCs w:val="24"/>
                <w:lang w:eastAsia="en-US"/>
              </w:rPr>
              <w:footnoteReference w:id="2"/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успешно защитил итоговые работы, подготовленные в рамках курсов повышения квалификации</w:t>
            </w:r>
          </w:p>
          <w:p w:rsidR="00746504" w:rsidRDefault="00746504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341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в аспирантуре </w:t>
            </w:r>
          </w:p>
          <w:p w:rsidR="005C73AC" w:rsidRPr="00746504" w:rsidRDefault="005C73AC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+5 баллов - кандидат наук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Default="00746504" w:rsidP="00746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:rsidR="007949F1" w:rsidRPr="00746504" w:rsidRDefault="007949F1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(профессиональный цикл)</w:t>
            </w:r>
          </w:p>
          <w:p w:rsidR="00746504" w:rsidRPr="00746504" w:rsidRDefault="00746504" w:rsidP="00746504">
            <w:pPr>
              <w:pStyle w:val="a7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Первая  квалификационная категория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специалистов среднего звена (ПССЗ)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 w:rsidR="00195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40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квалифицированных рабочих (ПКР)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195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30%.;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2.2.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50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40%;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выше 50%.</w:t>
            </w:r>
          </w:p>
          <w:p w:rsidR="00746504" w:rsidRPr="00F03C16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746504" w:rsidRPr="00F03C16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Качество знаний обучающихся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:rsidR="00746504" w:rsidRPr="00F03C16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выше 50%;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:rsidR="00746504" w:rsidRPr="00746504" w:rsidRDefault="00746504" w:rsidP="00F03C1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– выше 5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положит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ельная динамика качества знаний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F03C16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6" w:rsidRPr="00746504" w:rsidRDefault="007949F1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1" w:rsidRDefault="007949F1" w:rsidP="00794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:rsidR="00F03C16" w:rsidRPr="00746504" w:rsidRDefault="007949F1" w:rsidP="00794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:rsidR="007949F1" w:rsidRPr="00746504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специалистов среднего звена (ПССЗ)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30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квалифицированных рабочих (ПКР)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2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0%.;</w:t>
            </w:r>
          </w:p>
          <w:p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40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3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0%;</w:t>
            </w:r>
          </w:p>
          <w:p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</w:t>
            </w:r>
          </w:p>
          <w:p w:rsidR="007949F1" w:rsidRP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7949F1" w:rsidRPr="00F03C16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:rsidR="007949F1" w:rsidRP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положительная динамика качества знаний;</w:t>
            </w:r>
          </w:p>
          <w:p w:rsidR="00F03C16" w:rsidRPr="00746504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по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– выше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ельная динамика качества знаний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3C16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  <w:p w:rsidR="00B842E8" w:rsidRPr="00746504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(профессиональный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6C5B7B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2E8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746504" w:rsidRDefault="00B842E8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  <w:p w:rsidR="00B842E8" w:rsidRPr="00746504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0" w:rsidRDefault="004B39D0" w:rsidP="004B39D0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B842E8" w:rsidRPr="00746504" w:rsidRDefault="003674C3" w:rsidP="004B39D0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39D0" w:rsidRDefault="004B39D0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746504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4.1. Обучающиеся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мероприятий на уровне образовательной организации,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мероприятиях муниципального уровня;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4.2. Обучающиеся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муниципальных мероприятий;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республиканских, всероссийских/международных мероприятиях;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4.3. Обучающиеся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республиканских, всероссийских/международных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в областных, всероссийских, международных мероприятиях более одного призового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использования 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 Использует в своей деятельности новые образовательные технологии (в том числе ЭОР, здоровьесберегающие и др.) и ИКТ; 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Эффективно использует в своей деятельности новые образовательные технологии (в том числе ЭОР, здоровьесберегающие и др.) и ИКТ; методические материалы, разработанные педагогическим работником с применением новых образовательных технологий, размещены на официальных сайтах; 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2.3. Аналитически обосновал выбор новых образовательных технологий, применяемых при решении задач урочной/внеурочной деятельности, и представил результаты их эффективного использования; методические материалы, разработанные педагогическим работником с применением новых образовательных технологий, размещены на официальных сайтах.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+ 1 балл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использует элементы дистанционного обучения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Эффективность работы по программно-методическому сопровождению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образовательного процесса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6.1. Преподаватель разработал (составил) в соответствии с требованиями учебно-методический комплекс;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6.2. Преподаватель разработал (составил) в соответствии с требованиями учебно-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методический комплекс и методические рекомендации, отражающие использование им новых образовательных (производственных) технологий;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7.1. В межаттестационный период неоднократно представлял практические результаты своей профессиональной деятельности на уровне ПОО и муниципальном уровне, имеет авторские публикации, отражающие опыт собственной педагогической деятельности;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7.2. В межаттестационный период представил опыт собственной педагогической деятельности на республиканском уровне, имеет авторские публикации;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7.3. В межаттестационный период представил опыт собственной педагогической деятельности на всероссийском, международном уровне, имеет авторские публикации.</w:t>
            </w:r>
          </w:p>
          <w:p w:rsidR="00746504" w:rsidRPr="00746504" w:rsidRDefault="00746504" w:rsidP="00746504">
            <w:pPr>
              <w:pStyle w:val="a7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и продуктивность методической 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8.1. Участвует в экспертных комиссиях, предметных комиссиях, в составе жюри конкурсов, в работе творческих групп, руководит предметно-цикловой комиссией (ПЦК), методическим объединением на уровне образовательной организации;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8.2. Участвует в экспертных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8.3. Участвует в экспертных комиссиях, предметных комиссиях, в составе жюри конкурсов, в работе творческих групп, руководит методическими объединениями, принимает участие в организации и проведении мероприятий на республиканском, всероссийском и международном уровне.</w:t>
            </w:r>
          </w:p>
          <w:p w:rsidR="00746504" w:rsidRPr="00746504" w:rsidRDefault="00A10DA1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+2</w:t>
            </w:r>
            <w:r w:rsidR="00746504"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балл - участвует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в конкурсах (выставках) профессионального мастерства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9.1. Является призером конкурса профессионального мастерства на уровне образовательной организации;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9.2. Принимает участие в конкурсах профессионального мастерства на муниципальном, республиканском уровнях;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9.3.Является призером / победителем конкурса профессионального мастерства на муниципальном, республиканском, всероссийском уровнях.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Поощрения за профессиональную деятельность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2A3A65" w:rsidP="00746504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Имеет поощрения на уровне образовательной организации;</w:t>
            </w:r>
          </w:p>
          <w:p w:rsidR="00746504" w:rsidRPr="00746504" w:rsidRDefault="00746504" w:rsidP="00746504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 Имеет поощрения муниципального уровня;</w:t>
            </w:r>
          </w:p>
          <w:p w:rsidR="00746504" w:rsidRPr="00746504" w:rsidRDefault="00746504" w:rsidP="002A3A65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.3. Имеет поощрения или награды  республиканского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всероссийского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- 3 балла при наличии административных взысканий, обоснованных жалоб от участников образовательных отношений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                                                                                                                                                                                     (количество баллов)</w:t>
            </w:r>
          </w:p>
        </w:tc>
      </w:tr>
    </w:tbl>
    <w:p w:rsidR="005341FF" w:rsidRDefault="005341FF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5341FF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Первая квалификац</w:t>
      </w:r>
      <w:r w:rsidR="00711999">
        <w:rPr>
          <w:rFonts w:ascii="Times New Roman" w:hAnsi="Times New Roman"/>
          <w:sz w:val="24"/>
          <w:szCs w:val="24"/>
        </w:rPr>
        <w:t>ионная категория -  от 20  до 29</w:t>
      </w:r>
      <w:r w:rsidRPr="00746504">
        <w:rPr>
          <w:rFonts w:ascii="Times New Roman" w:hAnsi="Times New Roman"/>
          <w:sz w:val="24"/>
          <w:szCs w:val="24"/>
        </w:rPr>
        <w:t xml:space="preserve">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Высшая квалификационная </w:t>
      </w:r>
      <w:r w:rsidR="00711999">
        <w:rPr>
          <w:rFonts w:ascii="Times New Roman" w:hAnsi="Times New Roman"/>
          <w:sz w:val="24"/>
          <w:szCs w:val="24"/>
        </w:rPr>
        <w:t>категория - 30</w:t>
      </w:r>
      <w:r w:rsidRPr="00746504">
        <w:rPr>
          <w:rFonts w:ascii="Times New Roman" w:hAnsi="Times New Roman"/>
          <w:sz w:val="24"/>
          <w:szCs w:val="24"/>
        </w:rPr>
        <w:t xml:space="preserve">  и более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</w:p>
    <w:p w:rsidR="00746504" w:rsidRPr="00746504" w:rsidRDefault="00746504" w:rsidP="0074650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На основании анализа  материалов портфолио достижений можно сделать вывод, что результативность профессиональной деятельности преподавателя__________________________________________________________________</w:t>
      </w:r>
      <w:r w:rsidR="000A33C7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(Ф.И.О.)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соответствует/не соответствует _________________</w:t>
      </w:r>
      <w:r w:rsidR="00AF3DF0">
        <w:rPr>
          <w:rFonts w:ascii="Times New Roman" w:hAnsi="Times New Roman"/>
          <w:b/>
          <w:sz w:val="24"/>
          <w:szCs w:val="24"/>
        </w:rPr>
        <w:t>__________</w:t>
      </w:r>
      <w:r w:rsidRPr="00746504">
        <w:rPr>
          <w:rFonts w:ascii="Times New Roman" w:hAnsi="Times New Roman"/>
          <w:b/>
          <w:sz w:val="24"/>
          <w:szCs w:val="24"/>
        </w:rPr>
        <w:t>__квалификационной категории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Руководитель группы ______________________(_______________________________)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>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Эксперты            __________________________ (_________________________________)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lastRenderedPageBreak/>
        <w:tab/>
        <w:t xml:space="preserve">                 __________________________ (_________________________________)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AF3DF0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  <w:r w:rsidRPr="00AF3DF0">
        <w:rPr>
          <w:rFonts w:ascii="Times New Roman" w:hAnsi="Times New Roman"/>
          <w:sz w:val="24"/>
          <w:szCs w:val="24"/>
        </w:rPr>
        <w:t>Дата проведения экспертизы   «____»   _____________________ 20      г.</w:t>
      </w: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</w:p>
    <w:sectPr w:rsidR="00AF3DF0" w:rsidRPr="00AF3DF0" w:rsidSect="00B158CC">
      <w:foot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69" w:rsidRDefault="00FE0269" w:rsidP="00746504">
      <w:pPr>
        <w:spacing w:after="0" w:line="240" w:lineRule="auto"/>
      </w:pPr>
      <w:r>
        <w:separator/>
      </w:r>
    </w:p>
  </w:endnote>
  <w:endnote w:type="continuationSeparator" w:id="1">
    <w:p w:rsidR="00FE0269" w:rsidRDefault="00FE0269" w:rsidP="007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269924"/>
    </w:sdtPr>
    <w:sdtContent>
      <w:p w:rsidR="005D02EE" w:rsidRDefault="00316551">
        <w:pPr>
          <w:pStyle w:val="a5"/>
          <w:jc w:val="right"/>
        </w:pPr>
        <w:r>
          <w:fldChar w:fldCharType="begin"/>
        </w:r>
        <w:r w:rsidR="005D02EE">
          <w:instrText>PAGE   \* MERGEFORMAT</w:instrText>
        </w:r>
        <w:r>
          <w:fldChar w:fldCharType="separate"/>
        </w:r>
        <w:r w:rsidR="00FF4EC7">
          <w:rPr>
            <w:noProof/>
          </w:rPr>
          <w:t>1</w:t>
        </w:r>
        <w:r>
          <w:fldChar w:fldCharType="end"/>
        </w:r>
      </w:p>
    </w:sdtContent>
  </w:sdt>
  <w:p w:rsidR="005D02EE" w:rsidRDefault="005D02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69" w:rsidRDefault="00FE0269" w:rsidP="00746504">
      <w:pPr>
        <w:spacing w:after="0" w:line="240" w:lineRule="auto"/>
      </w:pPr>
      <w:r>
        <w:separator/>
      </w:r>
    </w:p>
  </w:footnote>
  <w:footnote w:type="continuationSeparator" w:id="1">
    <w:p w:rsidR="00FE0269" w:rsidRDefault="00FE0269" w:rsidP="00746504">
      <w:pPr>
        <w:spacing w:after="0" w:line="240" w:lineRule="auto"/>
      </w:pPr>
      <w:r>
        <w:continuationSeparator/>
      </w:r>
    </w:p>
  </w:footnote>
  <w:footnote w:id="2">
    <w:p w:rsidR="00746504" w:rsidRDefault="00746504" w:rsidP="00746504">
      <w:pPr>
        <w:pStyle w:val="a3"/>
      </w:pPr>
      <w:r>
        <w:rPr>
          <w:rStyle w:val="aa"/>
        </w:rPr>
        <w:footnoteRef/>
      </w:r>
      <w:r>
        <w:t xml:space="preserve"> Здесь и далее балл вычитается  (прибавляется) из (к) общего(ему) количества(у) баллов, набранных по всем критериям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504"/>
    <w:rsid w:val="00005129"/>
    <w:rsid w:val="000A33C7"/>
    <w:rsid w:val="000B1CE8"/>
    <w:rsid w:val="000E4431"/>
    <w:rsid w:val="00181C8B"/>
    <w:rsid w:val="001952B6"/>
    <w:rsid w:val="00287666"/>
    <w:rsid w:val="002A3A65"/>
    <w:rsid w:val="00316551"/>
    <w:rsid w:val="003674C3"/>
    <w:rsid w:val="00436691"/>
    <w:rsid w:val="004B39D0"/>
    <w:rsid w:val="005341FF"/>
    <w:rsid w:val="00575F7D"/>
    <w:rsid w:val="005C73AC"/>
    <w:rsid w:val="005D02EE"/>
    <w:rsid w:val="006C5B7B"/>
    <w:rsid w:val="00711999"/>
    <w:rsid w:val="00746504"/>
    <w:rsid w:val="007827C1"/>
    <w:rsid w:val="007949F1"/>
    <w:rsid w:val="007A3A5A"/>
    <w:rsid w:val="007C1E6F"/>
    <w:rsid w:val="00862415"/>
    <w:rsid w:val="008A3C7F"/>
    <w:rsid w:val="009B051F"/>
    <w:rsid w:val="009B7B3C"/>
    <w:rsid w:val="00A10DA1"/>
    <w:rsid w:val="00A272D1"/>
    <w:rsid w:val="00A3035D"/>
    <w:rsid w:val="00AF3DF0"/>
    <w:rsid w:val="00B158CC"/>
    <w:rsid w:val="00B842E8"/>
    <w:rsid w:val="00BC3F8D"/>
    <w:rsid w:val="00C12E32"/>
    <w:rsid w:val="00C258BD"/>
    <w:rsid w:val="00CF7775"/>
    <w:rsid w:val="00D14DEC"/>
    <w:rsid w:val="00F03C16"/>
    <w:rsid w:val="00FE0269"/>
    <w:rsid w:val="00FF39AE"/>
    <w:rsid w:val="00FF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Power</cp:lastModifiedBy>
  <cp:revision>2</cp:revision>
  <cp:lastPrinted>2018-01-29T06:24:00Z</cp:lastPrinted>
  <dcterms:created xsi:type="dcterms:W3CDTF">2018-02-04T11:29:00Z</dcterms:created>
  <dcterms:modified xsi:type="dcterms:W3CDTF">2018-02-04T11:29:00Z</dcterms:modified>
</cp:coreProperties>
</file>